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E59C" w14:textId="77777777" w:rsidR="00F56DB8" w:rsidRPr="00582082" w:rsidRDefault="00F56DB8" w:rsidP="00F56DB8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b/>
          <w:i/>
          <w:sz w:val="28"/>
          <w:szCs w:val="28"/>
          <w:lang w:val="en-US"/>
        </w:rPr>
      </w:pPr>
      <w:r w:rsidRPr="00582082">
        <w:rPr>
          <w:rFonts w:eastAsia="URWPalladioL-Roma" w:cstheme="minorHAnsi"/>
          <w:b/>
          <w:i/>
          <w:sz w:val="28"/>
          <w:szCs w:val="28"/>
          <w:lang w:val="en-US"/>
        </w:rPr>
        <w:t xml:space="preserve">Biomonitoring of Hydroxylated Polycyclic Aromatic Hydrocarbon Metabolites in Workers at </w:t>
      </w:r>
      <w:proofErr w:type="spellStart"/>
      <w:r w:rsidRPr="00582082">
        <w:rPr>
          <w:rFonts w:eastAsia="URWPalladioL-Roma" w:cstheme="minorHAnsi"/>
          <w:b/>
          <w:i/>
          <w:sz w:val="28"/>
          <w:szCs w:val="28"/>
          <w:lang w:val="en-US"/>
        </w:rPr>
        <w:t>aWaste</w:t>
      </w:r>
      <w:proofErr w:type="spellEnd"/>
      <w:r w:rsidRPr="00582082">
        <w:rPr>
          <w:rFonts w:eastAsia="URWPalladioL-Roma" w:cstheme="minorHAnsi"/>
          <w:b/>
          <w:i/>
          <w:sz w:val="28"/>
          <w:szCs w:val="28"/>
          <w:lang w:val="en-US"/>
        </w:rPr>
        <w:t>-to-Energy Incinerator, Turin, Italy</w:t>
      </w:r>
    </w:p>
    <w:p w14:paraId="27D47D45" w14:textId="77777777" w:rsidR="00F56DB8" w:rsidRPr="00582082" w:rsidRDefault="00F56DB8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i/>
          <w:sz w:val="28"/>
          <w:szCs w:val="28"/>
          <w:lang w:val="en-US"/>
        </w:rPr>
      </w:pPr>
    </w:p>
    <w:p w14:paraId="1DD6939D" w14:textId="77777777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 xml:space="preserve">Il presente lavoro presenta i risultati del biomonitoraggio umano di dieci OH-PAH (idrocarburi policiclici aromatici idrossilati) in una coorte di lavoratori </w:t>
      </w:r>
      <w:r w:rsidR="00F56DB8">
        <w:rPr>
          <w:rFonts w:eastAsia="URWPalladioL-Roma" w:cstheme="minorHAnsi"/>
          <w:sz w:val="28"/>
          <w:szCs w:val="28"/>
        </w:rPr>
        <w:t>dell’</w:t>
      </w:r>
      <w:r w:rsidRPr="007802CE">
        <w:rPr>
          <w:rFonts w:eastAsia="URWPalladioL-Roma" w:cstheme="minorHAnsi"/>
          <w:sz w:val="28"/>
          <w:szCs w:val="28"/>
        </w:rPr>
        <w:t>inceneritore di Torino.</w:t>
      </w:r>
    </w:p>
    <w:p w14:paraId="4BE9B5D1" w14:textId="77777777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>L'esposizione a lungo termine è stata valutata attraverso misurazioni ripetute</w:t>
      </w:r>
    </w:p>
    <w:p w14:paraId="5FF0ED36" w14:textId="77777777" w:rsid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 xml:space="preserve">in tre </w:t>
      </w:r>
      <w:r>
        <w:rPr>
          <w:rFonts w:eastAsia="URWPalladioL-Roma" w:cstheme="minorHAnsi"/>
          <w:sz w:val="28"/>
          <w:szCs w:val="28"/>
        </w:rPr>
        <w:t>momenti</w:t>
      </w:r>
      <w:r w:rsidRPr="007802CE">
        <w:rPr>
          <w:rFonts w:eastAsia="URWPalladioL-Roma" w:cstheme="minorHAnsi"/>
          <w:sz w:val="28"/>
          <w:szCs w:val="28"/>
        </w:rPr>
        <w:t xml:space="preserve"> temporali: prima dell'avvio (T0), dopo 1 anno (T1) e dopo 3 anni (T2).</w:t>
      </w:r>
    </w:p>
    <w:p w14:paraId="38C92C1A" w14:textId="1188270E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 xml:space="preserve">Per 26 soggetti erano disponibili </w:t>
      </w:r>
      <w:r w:rsidRPr="008E29EE">
        <w:rPr>
          <w:rFonts w:eastAsia="URWPalladioL-Roma" w:cstheme="minorHAnsi"/>
          <w:sz w:val="28"/>
          <w:szCs w:val="28"/>
        </w:rPr>
        <w:t xml:space="preserve">dati </w:t>
      </w:r>
      <w:r w:rsidR="00582082">
        <w:rPr>
          <w:rFonts w:eastAsia="URWPalladioL-Roma" w:cstheme="minorHAnsi"/>
          <w:sz w:val="28"/>
          <w:szCs w:val="28"/>
        </w:rPr>
        <w:t>appaiati, dato che erano presenti in tutte e tre le rilevazioni</w:t>
      </w:r>
      <w:r w:rsidRPr="007802CE">
        <w:rPr>
          <w:rFonts w:eastAsia="URWPalladioL-Roma" w:cstheme="minorHAnsi"/>
          <w:sz w:val="28"/>
          <w:szCs w:val="28"/>
        </w:rPr>
        <w:t>,</w:t>
      </w:r>
      <w:r>
        <w:rPr>
          <w:rFonts w:eastAsia="URWPalladioL-Roma" w:cstheme="minorHAnsi"/>
          <w:sz w:val="28"/>
          <w:szCs w:val="28"/>
        </w:rPr>
        <w:t xml:space="preserve"> </w:t>
      </w:r>
      <w:r w:rsidRPr="007802CE">
        <w:rPr>
          <w:rFonts w:eastAsia="URWPalladioL-Roma" w:cstheme="minorHAnsi"/>
          <w:sz w:val="28"/>
          <w:szCs w:val="28"/>
        </w:rPr>
        <w:t>sette lavoratori amministrativi (AW) e 19 lavoratori dell'impianto (PW).</w:t>
      </w:r>
    </w:p>
    <w:p w14:paraId="2BC51291" w14:textId="4FDF650B" w:rsidR="00B672F8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 xml:space="preserve">L'esposizione a breve termine è stata valutata confrontando le misure di inizio e fine turno. A causa della distribuzione non normale dei dati, </w:t>
      </w:r>
      <w:r w:rsidR="00B672F8" w:rsidRPr="00B672F8">
        <w:rPr>
          <w:rFonts w:eastAsia="URWPalladioL-Roma" w:cstheme="minorHAnsi"/>
          <w:sz w:val="28"/>
          <w:szCs w:val="28"/>
        </w:rPr>
        <w:t xml:space="preserve">per valutare le differenze sono stati utilizzati test non parametrici: test </w:t>
      </w:r>
      <w:r w:rsidR="00B672F8">
        <w:rPr>
          <w:rFonts w:eastAsia="URWPalladioL-Roma" w:cstheme="minorHAnsi"/>
          <w:sz w:val="28"/>
          <w:szCs w:val="28"/>
        </w:rPr>
        <w:t xml:space="preserve">dei segni </w:t>
      </w:r>
      <w:r w:rsidR="00B672F8" w:rsidRPr="00B672F8">
        <w:rPr>
          <w:rFonts w:eastAsia="URWPalladioL-Roma" w:cstheme="minorHAnsi"/>
          <w:sz w:val="28"/>
          <w:szCs w:val="28"/>
        </w:rPr>
        <w:t xml:space="preserve">di </w:t>
      </w:r>
      <w:proofErr w:type="spellStart"/>
      <w:r w:rsidR="00B672F8" w:rsidRPr="00B672F8">
        <w:rPr>
          <w:rFonts w:eastAsia="URWPalladioL-Roma" w:cstheme="minorHAnsi"/>
          <w:sz w:val="28"/>
          <w:szCs w:val="28"/>
        </w:rPr>
        <w:t>Wilcoxon</w:t>
      </w:r>
      <w:proofErr w:type="spellEnd"/>
      <w:r w:rsidR="00B672F8" w:rsidRPr="00B672F8">
        <w:rPr>
          <w:rFonts w:eastAsia="URWPalladioL-Roma" w:cstheme="minorHAnsi"/>
          <w:sz w:val="28"/>
          <w:szCs w:val="28"/>
        </w:rPr>
        <w:t xml:space="preserve"> per campioni appaiati e test di </w:t>
      </w:r>
      <w:proofErr w:type="spellStart"/>
      <w:r w:rsidR="00B672F8" w:rsidRPr="00B672F8">
        <w:rPr>
          <w:rFonts w:eastAsia="URWPalladioL-Roma" w:cstheme="minorHAnsi"/>
          <w:sz w:val="28"/>
          <w:szCs w:val="28"/>
        </w:rPr>
        <w:t>Cuzick</w:t>
      </w:r>
      <w:proofErr w:type="spellEnd"/>
      <w:r w:rsidR="00B672F8" w:rsidRPr="00B672F8">
        <w:rPr>
          <w:rFonts w:eastAsia="URWPalladioL-Roma" w:cstheme="minorHAnsi"/>
          <w:sz w:val="28"/>
          <w:szCs w:val="28"/>
        </w:rPr>
        <w:t xml:space="preserve"> per il trend</w:t>
      </w:r>
      <w:r w:rsidR="00B672F8">
        <w:rPr>
          <w:rFonts w:eastAsia="URWPalladioL-Roma" w:cstheme="minorHAnsi"/>
          <w:sz w:val="28"/>
          <w:szCs w:val="28"/>
        </w:rPr>
        <w:t>.</w:t>
      </w:r>
    </w:p>
    <w:p w14:paraId="5830DCA5" w14:textId="63D8C380" w:rsidR="00F56DB8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 xml:space="preserve">Né il </w:t>
      </w:r>
      <w:r w:rsidR="00582082">
        <w:rPr>
          <w:rFonts w:eastAsia="URWPalladioL-Roma" w:cstheme="minorHAnsi"/>
          <w:sz w:val="28"/>
          <w:szCs w:val="28"/>
        </w:rPr>
        <w:t>test sul trend</w:t>
      </w:r>
      <w:r w:rsidR="00F56DB8">
        <w:rPr>
          <w:rFonts w:eastAsia="URWPalladioL-Roma" w:cstheme="minorHAnsi"/>
          <w:sz w:val="28"/>
          <w:szCs w:val="28"/>
        </w:rPr>
        <w:t>,</w:t>
      </w:r>
      <w:r w:rsidRPr="007802CE">
        <w:rPr>
          <w:rFonts w:eastAsia="URWPalladioL-Roma" w:cstheme="minorHAnsi"/>
          <w:sz w:val="28"/>
          <w:szCs w:val="28"/>
        </w:rPr>
        <w:t xml:space="preserve"> né i test di confronto T0-T2 hanno prodotto risultati statisticamente significativi nei due gruppi (valore q &gt; 0,05), anche co</w:t>
      </w:r>
      <w:r w:rsidR="00F56DB8">
        <w:rPr>
          <w:rFonts w:eastAsia="URWPalladioL-Roma" w:cstheme="minorHAnsi"/>
          <w:sz w:val="28"/>
          <w:szCs w:val="28"/>
        </w:rPr>
        <w:t>nsiderando</w:t>
      </w:r>
      <w:r w:rsidRPr="007802CE">
        <w:rPr>
          <w:rFonts w:eastAsia="URWPalladioL-Roma" w:cstheme="minorHAnsi"/>
          <w:sz w:val="28"/>
          <w:szCs w:val="28"/>
        </w:rPr>
        <w:t xml:space="preserve"> l'abitudine al fumo.</w:t>
      </w:r>
    </w:p>
    <w:p w14:paraId="658D82ED" w14:textId="3FC576D0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>In relazione a</w:t>
      </w:r>
      <w:r w:rsidR="00582082">
        <w:rPr>
          <w:rFonts w:eastAsia="URWPalladioL-Roma" w:cstheme="minorHAnsi"/>
          <w:sz w:val="28"/>
          <w:szCs w:val="28"/>
        </w:rPr>
        <w:t>i</w:t>
      </w:r>
      <w:r w:rsidRPr="007802CE">
        <w:rPr>
          <w:rFonts w:eastAsia="URWPalladioL-Roma" w:cstheme="minorHAnsi"/>
          <w:sz w:val="28"/>
          <w:szCs w:val="28"/>
        </w:rPr>
        <w:t xml:space="preserve"> PW,</w:t>
      </w:r>
      <w:r w:rsidR="00D838A8">
        <w:rPr>
          <w:rFonts w:eastAsia="URWPalladioL-Roma" w:cstheme="minorHAnsi"/>
          <w:sz w:val="28"/>
          <w:szCs w:val="28"/>
        </w:rPr>
        <w:t xml:space="preserve"> </w:t>
      </w:r>
      <w:bookmarkStart w:id="0" w:name="_GoBack"/>
      <w:bookmarkEnd w:id="0"/>
      <w:r w:rsidRPr="007802CE">
        <w:rPr>
          <w:rFonts w:eastAsia="URWPalladioL-Roma" w:cstheme="minorHAnsi"/>
          <w:sz w:val="28"/>
          <w:szCs w:val="28"/>
        </w:rPr>
        <w:t xml:space="preserve">alcuni dei metaboliti </w:t>
      </w:r>
      <w:r w:rsidR="00582082">
        <w:rPr>
          <w:rFonts w:eastAsia="URWPalladioL-Roma" w:cstheme="minorHAnsi"/>
          <w:sz w:val="28"/>
          <w:szCs w:val="28"/>
        </w:rPr>
        <w:t>sono risultati</w:t>
      </w:r>
      <w:r w:rsidR="00582082" w:rsidRPr="007802CE">
        <w:rPr>
          <w:rFonts w:eastAsia="URWPalladioL-Roma" w:cstheme="minorHAnsi"/>
          <w:sz w:val="28"/>
          <w:szCs w:val="28"/>
        </w:rPr>
        <w:t xml:space="preserve"> </w:t>
      </w:r>
      <w:r w:rsidRPr="007802CE">
        <w:rPr>
          <w:rFonts w:eastAsia="URWPalladioL-Roma" w:cstheme="minorHAnsi"/>
          <w:sz w:val="28"/>
          <w:szCs w:val="28"/>
        </w:rPr>
        <w:t>più alti a T2 rispetto a T0, ma non è stato riscontrato un aumento lineare.</w:t>
      </w:r>
    </w:p>
    <w:p w14:paraId="00E4A7E7" w14:textId="223EF933" w:rsidR="00F56DB8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>Al contrario, l'1-OH-PYR (ng/g creatinina)</w:t>
      </w:r>
      <w:r w:rsidR="00582082">
        <w:rPr>
          <w:rFonts w:eastAsia="URWPalladioL-Roma" w:cstheme="minorHAnsi"/>
          <w:sz w:val="28"/>
          <w:szCs w:val="28"/>
        </w:rPr>
        <w:t>, che è il metabolita più comunemente usato per valutare l’esposizione ad IPA in ambito occupazionale,</w:t>
      </w:r>
      <w:r w:rsidRPr="007802CE">
        <w:rPr>
          <w:rFonts w:eastAsia="URWPalladioL-Roma" w:cstheme="minorHAnsi"/>
          <w:sz w:val="28"/>
          <w:szCs w:val="28"/>
        </w:rPr>
        <w:t xml:space="preserve"> ha mostrato valori mediani più bassi a T1 (61,5)</w:t>
      </w:r>
      <w:r w:rsidR="00F56DB8">
        <w:rPr>
          <w:rFonts w:eastAsia="URWPalladioL-Roma" w:cstheme="minorHAnsi"/>
          <w:sz w:val="28"/>
          <w:szCs w:val="28"/>
        </w:rPr>
        <w:t xml:space="preserve"> </w:t>
      </w:r>
      <w:r w:rsidRPr="007802CE">
        <w:rPr>
          <w:rFonts w:eastAsia="URWPalladioL-Roma" w:cstheme="minorHAnsi"/>
          <w:sz w:val="28"/>
          <w:szCs w:val="28"/>
        </w:rPr>
        <w:t xml:space="preserve">e T2 (67) rispetto al basale (151,3). Allo stesso modo, i confronti a breve </w:t>
      </w:r>
      <w:r w:rsidR="00F56DB8">
        <w:rPr>
          <w:rFonts w:eastAsia="URWPalladioL-Roma" w:cstheme="minorHAnsi"/>
          <w:sz w:val="28"/>
          <w:szCs w:val="28"/>
        </w:rPr>
        <w:t xml:space="preserve">termine non hanno dato </w:t>
      </w:r>
      <w:r w:rsidRPr="007802CE">
        <w:rPr>
          <w:rFonts w:eastAsia="URWPalladioL-Roma" w:cstheme="minorHAnsi"/>
          <w:sz w:val="28"/>
          <w:szCs w:val="28"/>
        </w:rPr>
        <w:t xml:space="preserve">risultati significativi, </w:t>
      </w:r>
      <w:r w:rsidR="00582082">
        <w:rPr>
          <w:rFonts w:eastAsia="URWPalladioL-Roma" w:cstheme="minorHAnsi"/>
          <w:sz w:val="28"/>
          <w:szCs w:val="28"/>
        </w:rPr>
        <w:t xml:space="preserve">considerando che </w:t>
      </w:r>
      <w:r w:rsidRPr="007802CE">
        <w:rPr>
          <w:rFonts w:eastAsia="URWPalladioL-Roma" w:cstheme="minorHAnsi"/>
          <w:sz w:val="28"/>
          <w:szCs w:val="28"/>
        </w:rPr>
        <w:t>distribuzioni dei valori</w:t>
      </w:r>
      <w:r w:rsidR="00582082">
        <w:rPr>
          <w:rFonts w:eastAsia="URWPalladioL-Roma" w:cstheme="minorHAnsi"/>
          <w:sz w:val="28"/>
          <w:szCs w:val="28"/>
        </w:rPr>
        <w:t xml:space="preserve"> prima e dopo il turno sono risultate</w:t>
      </w:r>
      <w:r w:rsidRPr="007802CE">
        <w:rPr>
          <w:rFonts w:eastAsia="URWPalladioL-Roma" w:cstheme="minorHAnsi"/>
          <w:sz w:val="28"/>
          <w:szCs w:val="28"/>
        </w:rPr>
        <w:t xml:space="preserve"> piuttosto sovrapposte. </w:t>
      </w:r>
    </w:p>
    <w:p w14:paraId="5F09E850" w14:textId="2159B36C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 xml:space="preserve">Nel complesso, non </w:t>
      </w:r>
      <w:r w:rsidR="00F56DB8">
        <w:rPr>
          <w:rFonts w:eastAsia="URWPalladioL-Roma" w:cstheme="minorHAnsi"/>
          <w:sz w:val="28"/>
          <w:szCs w:val="28"/>
        </w:rPr>
        <w:t>è stato</w:t>
      </w:r>
      <w:r w:rsidRPr="007802CE">
        <w:rPr>
          <w:rFonts w:eastAsia="URWPalladioL-Roma" w:cstheme="minorHAnsi"/>
          <w:sz w:val="28"/>
          <w:szCs w:val="28"/>
        </w:rPr>
        <w:t xml:space="preserve"> rilevat</w:t>
      </w:r>
      <w:r w:rsidR="00F56DB8">
        <w:rPr>
          <w:rFonts w:eastAsia="URWPalladioL-Roma" w:cstheme="minorHAnsi"/>
          <w:sz w:val="28"/>
          <w:szCs w:val="28"/>
        </w:rPr>
        <w:t xml:space="preserve">o un </w:t>
      </w:r>
      <w:r w:rsidRPr="007802CE">
        <w:rPr>
          <w:rFonts w:eastAsia="URWPalladioL-Roma" w:cstheme="minorHAnsi"/>
          <w:sz w:val="28"/>
          <w:szCs w:val="28"/>
        </w:rPr>
        <w:t xml:space="preserve">aumento dei livelli di metaboliti </w:t>
      </w:r>
      <w:r w:rsidR="00582082">
        <w:rPr>
          <w:rFonts w:eastAsia="URWPalladioL-Roma" w:cstheme="minorHAnsi"/>
          <w:sz w:val="28"/>
          <w:szCs w:val="28"/>
        </w:rPr>
        <w:t>attribuibile a</w:t>
      </w:r>
      <w:r w:rsidRPr="007802CE">
        <w:rPr>
          <w:rFonts w:eastAsia="URWPalladioL-Roma" w:cstheme="minorHAnsi"/>
          <w:sz w:val="28"/>
          <w:szCs w:val="28"/>
        </w:rPr>
        <w:t>ll'esposizione professionale nei lavoratori dell'inceneritore considerati.</w:t>
      </w:r>
    </w:p>
    <w:p w14:paraId="1A222307" w14:textId="3602C30E" w:rsidR="00F56DB8" w:rsidRPr="00F56DB8" w:rsidRDefault="007802CE" w:rsidP="00F56DB8">
      <w:pPr>
        <w:rPr>
          <w:rFonts w:eastAsia="URWPalladioL-Roma" w:cstheme="minorHAnsi"/>
          <w:sz w:val="28"/>
          <w:szCs w:val="28"/>
        </w:rPr>
      </w:pPr>
      <w:r w:rsidRPr="007802CE">
        <w:rPr>
          <w:rFonts w:eastAsia="URWPalladioL-Roma" w:cstheme="minorHAnsi"/>
          <w:sz w:val="28"/>
          <w:szCs w:val="28"/>
        </w:rPr>
        <w:t xml:space="preserve">Questi risultati sono </w:t>
      </w:r>
      <w:r w:rsidR="00582082">
        <w:rPr>
          <w:rFonts w:eastAsia="URWPalladioL-Roma" w:cstheme="minorHAnsi"/>
          <w:sz w:val="28"/>
          <w:szCs w:val="28"/>
        </w:rPr>
        <w:t>coerenti</w:t>
      </w:r>
      <w:r w:rsidRPr="007802CE">
        <w:rPr>
          <w:rFonts w:eastAsia="URWPalladioL-Roma" w:cstheme="minorHAnsi"/>
          <w:sz w:val="28"/>
          <w:szCs w:val="28"/>
        </w:rPr>
        <w:t xml:space="preserve"> con quelli ottenuti in precedenza per i metalli e</w:t>
      </w:r>
      <w:r w:rsidR="00582082">
        <w:rPr>
          <w:rFonts w:eastAsia="URWPalladioL-Roma" w:cstheme="minorHAnsi"/>
          <w:sz w:val="28"/>
          <w:szCs w:val="28"/>
        </w:rPr>
        <w:t xml:space="preserve"> con</w:t>
      </w:r>
      <w:r w:rsidRPr="007802CE">
        <w:rPr>
          <w:rFonts w:eastAsia="URWPalladioL-Roma" w:cstheme="minorHAnsi"/>
          <w:sz w:val="28"/>
          <w:szCs w:val="28"/>
        </w:rPr>
        <w:t xml:space="preserve"> le </w:t>
      </w:r>
      <w:r w:rsidR="00582082">
        <w:rPr>
          <w:rFonts w:eastAsia="URWPalladioL-Roma" w:cstheme="minorHAnsi"/>
          <w:sz w:val="28"/>
          <w:szCs w:val="28"/>
        </w:rPr>
        <w:t xml:space="preserve">misurazioni </w:t>
      </w:r>
      <w:r w:rsidR="00582082" w:rsidRPr="00582082">
        <w:rPr>
          <w:rFonts w:eastAsia="URWPalladioL-Roma" w:cstheme="minorHAnsi"/>
          <w:sz w:val="28"/>
          <w:szCs w:val="28"/>
        </w:rPr>
        <w:t>della qualità dell’aria indoor</w:t>
      </w:r>
      <w:r w:rsidR="00582082">
        <w:rPr>
          <w:rFonts w:eastAsia="URWPalladioL-Roma" w:cstheme="minorHAnsi"/>
          <w:sz w:val="28"/>
          <w:szCs w:val="28"/>
        </w:rPr>
        <w:t xml:space="preserve"> condotte da Arpa Piemonte</w:t>
      </w:r>
      <w:r w:rsidR="00F56DB8" w:rsidRPr="008E29EE">
        <w:rPr>
          <w:rFonts w:eastAsia="URWPalladioL-Roma" w:cstheme="minorHAnsi"/>
          <w:sz w:val="28"/>
          <w:szCs w:val="28"/>
        </w:rPr>
        <w:t>.</w:t>
      </w:r>
    </w:p>
    <w:p w14:paraId="2AA679F1" w14:textId="77777777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eastAsia="URWPalladioL-Roma" w:cstheme="minorHAnsi"/>
          <w:sz w:val="28"/>
          <w:szCs w:val="28"/>
        </w:rPr>
      </w:pPr>
    </w:p>
    <w:p w14:paraId="4FA0E772" w14:textId="77777777" w:rsidR="007802CE" w:rsidRP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ascii="URWPalladioL-Roma" w:eastAsia="URWPalladioL-Roma" w:cs="URWPalladioL-Roma"/>
          <w:sz w:val="20"/>
          <w:szCs w:val="20"/>
        </w:rPr>
      </w:pPr>
    </w:p>
    <w:p w14:paraId="6ADBD288" w14:textId="77777777" w:rsid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ascii="URWPalladioL-Roma" w:eastAsia="URWPalladioL-Roma" w:cs="URWPalladioL-Roma"/>
          <w:sz w:val="20"/>
          <w:szCs w:val="20"/>
        </w:rPr>
      </w:pPr>
    </w:p>
    <w:p w14:paraId="0E28AE9C" w14:textId="77777777" w:rsidR="007802CE" w:rsidRDefault="007802CE" w:rsidP="007802CE">
      <w:pPr>
        <w:autoSpaceDE w:val="0"/>
        <w:autoSpaceDN w:val="0"/>
        <w:adjustRightInd w:val="0"/>
        <w:spacing w:after="0" w:line="240" w:lineRule="auto"/>
        <w:rPr>
          <w:rFonts w:ascii="URWPalladioL-Roma" w:eastAsia="URWPalladioL-Roma" w:cs="URWPalladioL-Roma"/>
          <w:sz w:val="20"/>
          <w:szCs w:val="20"/>
        </w:rPr>
      </w:pPr>
    </w:p>
    <w:sectPr w:rsidR="007802CE" w:rsidSect="00912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PalladioL-Roma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CE"/>
    <w:rsid w:val="000F58B5"/>
    <w:rsid w:val="00582082"/>
    <w:rsid w:val="007802CE"/>
    <w:rsid w:val="008759F9"/>
    <w:rsid w:val="008E29EE"/>
    <w:rsid w:val="00912D7A"/>
    <w:rsid w:val="00B672F8"/>
    <w:rsid w:val="00D838A8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67A7"/>
  <w15:docId w15:val="{71063E73-66D0-47CD-A405-CF0BD0A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582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elisa ferro</cp:lastModifiedBy>
  <cp:revision>3</cp:revision>
  <dcterms:created xsi:type="dcterms:W3CDTF">2025-02-03T09:04:00Z</dcterms:created>
  <dcterms:modified xsi:type="dcterms:W3CDTF">2025-02-03T09:05:00Z</dcterms:modified>
</cp:coreProperties>
</file>